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B7" w:rsidRDefault="00AF5CE3" w:rsidP="00CF5BEE">
      <w:pPr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purpose of the </w:t>
      </w:r>
      <w:r>
        <w:rPr>
          <w:rFonts w:ascii="Arial" w:hAnsi="Arial" w:cs="Arial"/>
          <w:bCs/>
          <w:spacing w:val="-3"/>
          <w:sz w:val="22"/>
          <w:szCs w:val="22"/>
        </w:rPr>
        <w:t>Hospital and Health Boards (Safe Nurse-to-Patient and Midwife-to-Patient Ratios)</w:t>
      </w:r>
      <w:r w:rsidR="00D13D2D">
        <w:rPr>
          <w:rFonts w:ascii="Arial" w:hAnsi="Arial" w:cs="Arial"/>
          <w:bCs/>
          <w:spacing w:val="-3"/>
          <w:sz w:val="22"/>
          <w:szCs w:val="22"/>
        </w:rPr>
        <w:t xml:space="preserve"> Amendment Bill 2015</w:t>
      </w:r>
      <w:r w:rsidR="00F002B7">
        <w:rPr>
          <w:rFonts w:ascii="Arial" w:hAnsi="Arial" w:cs="Arial"/>
          <w:bCs/>
          <w:spacing w:val="-3"/>
          <w:sz w:val="22"/>
          <w:szCs w:val="22"/>
        </w:rPr>
        <w:t xml:space="preserve"> (the Bill)</w:t>
      </w:r>
      <w:r w:rsidR="008D664C">
        <w:rPr>
          <w:rFonts w:ascii="Arial" w:hAnsi="Arial" w:cs="Arial"/>
          <w:bCs/>
          <w:spacing w:val="-3"/>
          <w:sz w:val="22"/>
          <w:szCs w:val="22"/>
        </w:rPr>
        <w:t xml:space="preserve"> is to provide a legislative framework to enable nurse-to-patient and midwife-to-patient ratios and workload provisions </w:t>
      </w:r>
      <w:r w:rsidR="002E7813">
        <w:rPr>
          <w:rFonts w:ascii="Arial" w:hAnsi="Arial" w:cs="Arial"/>
          <w:bCs/>
          <w:spacing w:val="-3"/>
          <w:sz w:val="22"/>
          <w:szCs w:val="22"/>
        </w:rPr>
        <w:t>to be mandated in public sector health service facilities.</w:t>
      </w:r>
    </w:p>
    <w:p w:rsidR="002E7813" w:rsidRDefault="002E7813" w:rsidP="008D664C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implements the Government’s commitment in the </w:t>
      </w:r>
      <w:r w:rsidRPr="002E7813">
        <w:rPr>
          <w:rFonts w:ascii="Arial" w:hAnsi="Arial" w:cs="Arial"/>
          <w:bCs/>
          <w:i/>
          <w:spacing w:val="-3"/>
          <w:sz w:val="22"/>
          <w:szCs w:val="22"/>
        </w:rPr>
        <w:t>Nursing Guarantee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policy to legislate for mandated ratios and workload provisions to ensure patient safety and quality health care.</w:t>
      </w:r>
    </w:p>
    <w:p w:rsidR="008D664C" w:rsidRDefault="008D664C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amends the </w:t>
      </w:r>
      <w:r w:rsidRPr="008D664C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to:</w:t>
      </w:r>
    </w:p>
    <w:p w:rsidR="008D664C" w:rsidRP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enable </w:t>
      </w:r>
      <w:r w:rsidRPr="008D664C">
        <w:rPr>
          <w:rFonts w:ascii="Arial" w:hAnsi="Arial" w:cs="Arial"/>
          <w:color w:val="auto"/>
          <w:sz w:val="22"/>
          <w:szCs w:val="22"/>
        </w:rPr>
        <w:t xml:space="preserve">ratios, and requirements relating to </w:t>
      </w:r>
      <w:r w:rsidR="003507D6">
        <w:rPr>
          <w:rFonts w:ascii="Arial" w:hAnsi="Arial" w:cs="Arial"/>
          <w:color w:val="auto"/>
          <w:sz w:val="22"/>
          <w:szCs w:val="22"/>
        </w:rPr>
        <w:t>the skills and qualifications of nursing and midwifery staff included in ratios</w:t>
      </w:r>
      <w:r w:rsidRPr="008D664C">
        <w:rPr>
          <w:rFonts w:ascii="Arial" w:hAnsi="Arial" w:cs="Arial"/>
          <w:color w:val="auto"/>
          <w:sz w:val="22"/>
          <w:szCs w:val="22"/>
        </w:rPr>
        <w:t>, to be prescribed via a regulation (a ‘nursing and midwifery regulation’);</w:t>
      </w:r>
    </w:p>
    <w:p w:rsidR="008D664C" w:rsidRP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enable</w:t>
      </w:r>
      <w:r w:rsidRPr="008D664C">
        <w:rPr>
          <w:rFonts w:ascii="Arial" w:hAnsi="Arial" w:cs="Arial"/>
          <w:color w:val="auto"/>
          <w:sz w:val="22"/>
          <w:szCs w:val="22"/>
        </w:rPr>
        <w:t xml:space="preserve"> the Minister to grant a temporary exemption to a Hospital and Health Service (‘Service’) from compliance with all or part of a nursing and midwifery regulation, or to vary the application of a nursing and midwifery regulation to a Service;</w:t>
      </w:r>
    </w:p>
    <w:p w:rsidR="008D664C" w:rsidRP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provide</w:t>
      </w:r>
      <w:r w:rsidRPr="008D664C">
        <w:rPr>
          <w:rFonts w:ascii="Arial" w:hAnsi="Arial" w:cs="Arial"/>
          <w:color w:val="auto"/>
          <w:sz w:val="22"/>
          <w:szCs w:val="22"/>
        </w:rPr>
        <w:t xml:space="preserve"> that the Minister must consider a Service’s capability to comply with a nursing and midwifery regulation, and the likely effects of compliance on the Service, before either prescribing the Service under the regulation or granting or extending a temporary exemption;</w:t>
      </w:r>
    </w:p>
    <w:p w:rsidR="008D664C" w:rsidRP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D664C">
        <w:rPr>
          <w:rFonts w:ascii="Arial" w:hAnsi="Arial" w:cs="Arial"/>
          <w:color w:val="auto"/>
          <w:sz w:val="22"/>
          <w:szCs w:val="22"/>
        </w:rPr>
        <w:t xml:space="preserve">enable the chief executive of the department to make </w:t>
      </w:r>
      <w:r w:rsidR="00A760B6">
        <w:rPr>
          <w:rFonts w:ascii="Arial" w:hAnsi="Arial" w:cs="Arial"/>
          <w:color w:val="auto"/>
          <w:sz w:val="22"/>
          <w:szCs w:val="22"/>
        </w:rPr>
        <w:t>a standard</w:t>
      </w:r>
      <w:r w:rsidRPr="008D664C">
        <w:rPr>
          <w:rFonts w:ascii="Arial" w:hAnsi="Arial" w:cs="Arial"/>
          <w:color w:val="auto"/>
          <w:sz w:val="22"/>
          <w:szCs w:val="22"/>
        </w:rPr>
        <w:t xml:space="preserve"> about nursing and midwifery worklo</w:t>
      </w:r>
      <w:r>
        <w:rPr>
          <w:rFonts w:ascii="Arial" w:hAnsi="Arial" w:cs="Arial"/>
          <w:color w:val="auto"/>
          <w:sz w:val="22"/>
          <w:szCs w:val="22"/>
        </w:rPr>
        <w:t>ad management by a Service;</w:t>
      </w:r>
    </w:p>
    <w:p w:rsid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D664C">
        <w:rPr>
          <w:rFonts w:ascii="Arial" w:hAnsi="Arial" w:cs="Arial"/>
          <w:color w:val="auto"/>
          <w:sz w:val="22"/>
          <w:szCs w:val="22"/>
        </w:rPr>
        <w:t xml:space="preserve">provide for the collection and public reporting of nursing and midwifery </w:t>
      </w:r>
      <w:r>
        <w:rPr>
          <w:rFonts w:ascii="Arial" w:hAnsi="Arial" w:cs="Arial"/>
          <w:color w:val="auto"/>
          <w:sz w:val="22"/>
          <w:szCs w:val="22"/>
        </w:rPr>
        <w:t xml:space="preserve">workload management information; and </w:t>
      </w:r>
    </w:p>
    <w:p w:rsidR="008D664C" w:rsidRPr="008D664C" w:rsidRDefault="008D664C" w:rsidP="00581E08">
      <w:pPr>
        <w:numPr>
          <w:ilvl w:val="0"/>
          <w:numId w:val="27"/>
        </w:numPr>
        <w:tabs>
          <w:tab w:val="left" w:pos="851"/>
        </w:tabs>
        <w:spacing w:before="120"/>
        <w:ind w:left="851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D664C">
        <w:rPr>
          <w:rFonts w:ascii="Arial" w:hAnsi="Arial" w:cs="Arial"/>
          <w:color w:val="auto"/>
          <w:sz w:val="22"/>
          <w:szCs w:val="22"/>
        </w:rPr>
        <w:t xml:space="preserve">provide that the Minister’s power to grant a temporary exemption, and the chief executive’s power to make </w:t>
      </w:r>
      <w:r w:rsidR="00A760B6">
        <w:rPr>
          <w:rFonts w:ascii="Arial" w:hAnsi="Arial" w:cs="Arial"/>
          <w:color w:val="auto"/>
          <w:sz w:val="22"/>
          <w:szCs w:val="22"/>
        </w:rPr>
        <w:t xml:space="preserve">a </w:t>
      </w:r>
      <w:r w:rsidRPr="008D664C">
        <w:rPr>
          <w:rFonts w:ascii="Arial" w:hAnsi="Arial" w:cs="Arial"/>
          <w:color w:val="auto"/>
          <w:sz w:val="22"/>
          <w:szCs w:val="22"/>
        </w:rPr>
        <w:t>st</w:t>
      </w:r>
      <w:r w:rsidR="00A760B6">
        <w:rPr>
          <w:rFonts w:ascii="Arial" w:hAnsi="Arial" w:cs="Arial"/>
          <w:color w:val="auto"/>
          <w:sz w:val="22"/>
          <w:szCs w:val="22"/>
        </w:rPr>
        <w:t>andard</w:t>
      </w:r>
      <w:r w:rsidRPr="008D664C">
        <w:rPr>
          <w:rFonts w:ascii="Arial" w:hAnsi="Arial" w:cs="Arial"/>
          <w:color w:val="auto"/>
          <w:sz w:val="22"/>
          <w:szCs w:val="22"/>
        </w:rPr>
        <w:t>, may not be delegated.</w:t>
      </w:r>
    </w:p>
    <w:p w:rsidR="00F002B7" w:rsidRPr="00CE6FBA" w:rsidRDefault="00F002B7" w:rsidP="00F002B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</w:t>
      </w:r>
      <w:r w:rsidR="00581E08" w:rsidRPr="00581E08">
        <w:rPr>
          <w:rFonts w:ascii="Arial" w:hAnsi="Arial" w:cs="Arial"/>
          <w:sz w:val="22"/>
          <w:szCs w:val="22"/>
        </w:rPr>
        <w:t>Hospital and Health Boards (Safe Nurse-to-Patient and Midwife-to-Patient Ratios) Amendment Bill 2015</w:t>
      </w:r>
      <w:r w:rsidR="00581E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into the Legislative Assembly.</w:t>
      </w:r>
    </w:p>
    <w:p w:rsidR="00F002B7" w:rsidRPr="00581E08" w:rsidRDefault="00F002B7" w:rsidP="00581E08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581E0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002B7" w:rsidRDefault="00F35B22" w:rsidP="00F002B7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AF5CE3" w:rsidRPr="00FF33B7">
          <w:rPr>
            <w:rStyle w:val="Hyperlink"/>
            <w:rFonts w:ascii="Arial" w:hAnsi="Arial" w:cs="Arial"/>
            <w:sz w:val="22"/>
            <w:szCs w:val="22"/>
          </w:rPr>
          <w:t>Hospital and Health Boards (Safe Nurse-to-Patient and Midwife-to-Patient Ratios)</w:t>
        </w:r>
        <w:r w:rsidR="00D13D2D" w:rsidRPr="00FF33B7">
          <w:rPr>
            <w:rStyle w:val="Hyperlink"/>
            <w:rFonts w:ascii="Arial" w:hAnsi="Arial" w:cs="Arial"/>
            <w:sz w:val="22"/>
            <w:szCs w:val="22"/>
          </w:rPr>
          <w:t xml:space="preserve"> Amendment Bill 2015</w:t>
        </w:r>
      </w:hyperlink>
    </w:p>
    <w:p w:rsidR="00A06381" w:rsidRPr="00907A2C" w:rsidRDefault="00F35B22" w:rsidP="00907A2C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AF5CE3" w:rsidRPr="00FF33B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A06381" w:rsidRPr="00907A2C" w:rsidSect="002148A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72" w:rsidRDefault="00F21C72">
      <w:r>
        <w:separator/>
      </w:r>
    </w:p>
  </w:endnote>
  <w:endnote w:type="continuationSeparator" w:id="0">
    <w:p w:rsidR="00F21C72" w:rsidRDefault="00F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72" w:rsidRDefault="00F21C72">
      <w:r>
        <w:separator/>
      </w:r>
    </w:p>
  </w:footnote>
  <w:footnote w:type="continuationSeparator" w:id="0">
    <w:p w:rsidR="00F21C72" w:rsidRDefault="00F2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A06381" w:rsidRPr="00D75134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06381" w:rsidRPr="001E209B" w:rsidRDefault="00A06381" w:rsidP="00135D6D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13D2D">
      <w:rPr>
        <w:rFonts w:ascii="Arial" w:hAnsi="Arial" w:cs="Arial"/>
        <w:b/>
        <w:sz w:val="22"/>
        <w:szCs w:val="22"/>
      </w:rPr>
      <w:t>November 2015</w:t>
    </w:r>
  </w:p>
  <w:p w:rsidR="00A06381" w:rsidRDefault="00AF5CE3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Hospital and Health Boards (Safe Nurse-to-Patient and Midwife-to-Patient Ratios)</w:t>
    </w:r>
    <w:r w:rsidR="00D13D2D">
      <w:rPr>
        <w:rFonts w:ascii="Arial" w:hAnsi="Arial" w:cs="Arial"/>
        <w:b/>
        <w:sz w:val="22"/>
        <w:szCs w:val="22"/>
        <w:u w:val="single"/>
      </w:rPr>
      <w:t xml:space="preserve"> Amendment Bill 2015</w:t>
    </w:r>
  </w:p>
  <w:p w:rsidR="00D13D2D" w:rsidRDefault="00A06381" w:rsidP="00135D6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002B7">
      <w:rPr>
        <w:rFonts w:ascii="Arial" w:hAnsi="Arial" w:cs="Arial"/>
        <w:b/>
        <w:sz w:val="22"/>
        <w:szCs w:val="22"/>
        <w:u w:val="single"/>
      </w:rPr>
      <w:t xml:space="preserve"> for Health</w:t>
    </w:r>
    <w:r w:rsidR="00D13D2D">
      <w:rPr>
        <w:rFonts w:ascii="Arial" w:hAnsi="Arial" w:cs="Arial"/>
        <w:b/>
        <w:sz w:val="22"/>
        <w:szCs w:val="22"/>
        <w:u w:val="single"/>
      </w:rPr>
      <w:t xml:space="preserve"> and</w:t>
    </w:r>
    <w:r w:rsidR="008D664C">
      <w:rPr>
        <w:rFonts w:ascii="Arial" w:hAnsi="Arial" w:cs="Arial"/>
        <w:b/>
        <w:sz w:val="22"/>
        <w:szCs w:val="22"/>
        <w:u w:val="single"/>
      </w:rPr>
      <w:t xml:space="preserve"> </w:t>
    </w:r>
    <w:r w:rsidR="00D13D2D">
      <w:rPr>
        <w:rFonts w:ascii="Arial" w:hAnsi="Arial" w:cs="Arial"/>
        <w:b/>
        <w:sz w:val="22"/>
        <w:szCs w:val="22"/>
        <w:u w:val="single"/>
      </w:rPr>
      <w:t>Minister for Ambulance Services</w:t>
    </w:r>
  </w:p>
  <w:p w:rsidR="00A06381" w:rsidRDefault="00A06381" w:rsidP="00135D6D">
    <w:pPr>
      <w:pStyle w:val="Header"/>
      <w:pBdr>
        <w:bottom w:val="single" w:sz="4" w:space="1" w:color="auto"/>
      </w:pBdr>
    </w:pPr>
  </w:p>
  <w:p w:rsidR="00A06381" w:rsidRPr="00135D6D" w:rsidRDefault="00A06381" w:rsidP="00135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81F1585"/>
    <w:multiLevelType w:val="multilevel"/>
    <w:tmpl w:val="43406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507D35"/>
    <w:multiLevelType w:val="hybridMultilevel"/>
    <w:tmpl w:val="DF18154E"/>
    <w:lvl w:ilvl="0" w:tplc="B0789A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0AD7"/>
    <w:multiLevelType w:val="hybridMultilevel"/>
    <w:tmpl w:val="1BB66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7FED"/>
    <w:multiLevelType w:val="hybridMultilevel"/>
    <w:tmpl w:val="88A82BB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CC3A12"/>
    <w:multiLevelType w:val="hybridMultilevel"/>
    <w:tmpl w:val="0434A712"/>
    <w:lvl w:ilvl="0" w:tplc="8EE8BC8E">
      <w:start w:val="1"/>
      <w:numFmt w:val="decimal"/>
      <w:lvlText w:val="ATTACHMENT %1: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55130200"/>
    <w:multiLevelType w:val="hybridMultilevel"/>
    <w:tmpl w:val="DC4AC384"/>
    <w:lvl w:ilvl="0" w:tplc="BD06452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18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C7F0492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2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3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22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21"/>
  </w:num>
  <w:num w:numId="19">
    <w:abstractNumId w:val="13"/>
  </w:num>
  <w:num w:numId="20">
    <w:abstractNumId w:val="25"/>
  </w:num>
  <w:num w:numId="21">
    <w:abstractNumId w:val="24"/>
  </w:num>
  <w:num w:numId="22">
    <w:abstractNumId w:val="6"/>
  </w:num>
  <w:num w:numId="23">
    <w:abstractNumId w:val="15"/>
  </w:num>
  <w:num w:numId="24">
    <w:abstractNumId w:val="19"/>
  </w:num>
  <w:num w:numId="25">
    <w:abstractNumId w:val="8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23"/>
    <w:rsid w:val="00014AB8"/>
    <w:rsid w:val="00021188"/>
    <w:rsid w:val="00027113"/>
    <w:rsid w:val="00035705"/>
    <w:rsid w:val="000400F9"/>
    <w:rsid w:val="00041A0F"/>
    <w:rsid w:val="000430DD"/>
    <w:rsid w:val="000526D3"/>
    <w:rsid w:val="00066D93"/>
    <w:rsid w:val="00070A40"/>
    <w:rsid w:val="00075AF4"/>
    <w:rsid w:val="000924FD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0F0DB5"/>
    <w:rsid w:val="000F21F9"/>
    <w:rsid w:val="000F680A"/>
    <w:rsid w:val="001010F3"/>
    <w:rsid w:val="001141E1"/>
    <w:rsid w:val="001227DD"/>
    <w:rsid w:val="00123E0E"/>
    <w:rsid w:val="00124FE2"/>
    <w:rsid w:val="00126CC9"/>
    <w:rsid w:val="00135D6D"/>
    <w:rsid w:val="001376CE"/>
    <w:rsid w:val="00140936"/>
    <w:rsid w:val="00144370"/>
    <w:rsid w:val="00144862"/>
    <w:rsid w:val="0014649D"/>
    <w:rsid w:val="0015685D"/>
    <w:rsid w:val="00156C19"/>
    <w:rsid w:val="001622E3"/>
    <w:rsid w:val="0016461A"/>
    <w:rsid w:val="0017740C"/>
    <w:rsid w:val="0017782F"/>
    <w:rsid w:val="00182E54"/>
    <w:rsid w:val="00190C8E"/>
    <w:rsid w:val="001A38B6"/>
    <w:rsid w:val="001B5837"/>
    <w:rsid w:val="001C350C"/>
    <w:rsid w:val="001C7B97"/>
    <w:rsid w:val="001D5A2D"/>
    <w:rsid w:val="001D5F1F"/>
    <w:rsid w:val="001E209B"/>
    <w:rsid w:val="001E5583"/>
    <w:rsid w:val="001E6C9A"/>
    <w:rsid w:val="002076A3"/>
    <w:rsid w:val="0021344B"/>
    <w:rsid w:val="002148AA"/>
    <w:rsid w:val="00216296"/>
    <w:rsid w:val="002266A8"/>
    <w:rsid w:val="00227D1E"/>
    <w:rsid w:val="00240160"/>
    <w:rsid w:val="00242B09"/>
    <w:rsid w:val="00255A00"/>
    <w:rsid w:val="00273B58"/>
    <w:rsid w:val="0028256A"/>
    <w:rsid w:val="00294F96"/>
    <w:rsid w:val="002971C2"/>
    <w:rsid w:val="002A6FC7"/>
    <w:rsid w:val="002B5574"/>
    <w:rsid w:val="002C07C8"/>
    <w:rsid w:val="002C29EC"/>
    <w:rsid w:val="002E58D6"/>
    <w:rsid w:val="002E5AA0"/>
    <w:rsid w:val="002E7813"/>
    <w:rsid w:val="002F7590"/>
    <w:rsid w:val="003024B9"/>
    <w:rsid w:val="0031208A"/>
    <w:rsid w:val="0032140C"/>
    <w:rsid w:val="003243E0"/>
    <w:rsid w:val="00330878"/>
    <w:rsid w:val="0033391A"/>
    <w:rsid w:val="00340EF2"/>
    <w:rsid w:val="003507D6"/>
    <w:rsid w:val="00355608"/>
    <w:rsid w:val="003737C1"/>
    <w:rsid w:val="00391750"/>
    <w:rsid w:val="003927E5"/>
    <w:rsid w:val="003A4AA8"/>
    <w:rsid w:val="003B094B"/>
    <w:rsid w:val="003B5871"/>
    <w:rsid w:val="003C4309"/>
    <w:rsid w:val="003C5050"/>
    <w:rsid w:val="003C71CD"/>
    <w:rsid w:val="003D2408"/>
    <w:rsid w:val="003E2D89"/>
    <w:rsid w:val="003F446D"/>
    <w:rsid w:val="00403202"/>
    <w:rsid w:val="00412A34"/>
    <w:rsid w:val="004149B9"/>
    <w:rsid w:val="00426D0F"/>
    <w:rsid w:val="0044424E"/>
    <w:rsid w:val="00444DCF"/>
    <w:rsid w:val="00464036"/>
    <w:rsid w:val="00476361"/>
    <w:rsid w:val="00476A64"/>
    <w:rsid w:val="004B6BEE"/>
    <w:rsid w:val="004B751F"/>
    <w:rsid w:val="004C5933"/>
    <w:rsid w:val="004C65A5"/>
    <w:rsid w:val="004D201D"/>
    <w:rsid w:val="004D7050"/>
    <w:rsid w:val="004E3AE1"/>
    <w:rsid w:val="004E3BC5"/>
    <w:rsid w:val="004E501D"/>
    <w:rsid w:val="004F0CB6"/>
    <w:rsid w:val="0052050A"/>
    <w:rsid w:val="00527730"/>
    <w:rsid w:val="005425AB"/>
    <w:rsid w:val="005577AB"/>
    <w:rsid w:val="00581E08"/>
    <w:rsid w:val="00583FC7"/>
    <w:rsid w:val="005D5BB9"/>
    <w:rsid w:val="005E428B"/>
    <w:rsid w:val="005E7616"/>
    <w:rsid w:val="005E7C61"/>
    <w:rsid w:val="00635DE2"/>
    <w:rsid w:val="0064268C"/>
    <w:rsid w:val="00656393"/>
    <w:rsid w:val="0066340C"/>
    <w:rsid w:val="0066421E"/>
    <w:rsid w:val="00667828"/>
    <w:rsid w:val="0067667D"/>
    <w:rsid w:val="006B08C4"/>
    <w:rsid w:val="006E25A6"/>
    <w:rsid w:val="006F4423"/>
    <w:rsid w:val="006F7B5F"/>
    <w:rsid w:val="007050E6"/>
    <w:rsid w:val="00721EFD"/>
    <w:rsid w:val="00742804"/>
    <w:rsid w:val="00745F4C"/>
    <w:rsid w:val="007475BB"/>
    <w:rsid w:val="00751DB8"/>
    <w:rsid w:val="00761EEB"/>
    <w:rsid w:val="007653EB"/>
    <w:rsid w:val="00782539"/>
    <w:rsid w:val="0078430B"/>
    <w:rsid w:val="0079498D"/>
    <w:rsid w:val="00795162"/>
    <w:rsid w:val="007B178B"/>
    <w:rsid w:val="007B6771"/>
    <w:rsid w:val="007C5B4B"/>
    <w:rsid w:val="007C6505"/>
    <w:rsid w:val="007D5103"/>
    <w:rsid w:val="007D5192"/>
    <w:rsid w:val="007F46E4"/>
    <w:rsid w:val="00800574"/>
    <w:rsid w:val="00827746"/>
    <w:rsid w:val="00832489"/>
    <w:rsid w:val="00834946"/>
    <w:rsid w:val="00842FBD"/>
    <w:rsid w:val="00844722"/>
    <w:rsid w:val="00860D72"/>
    <w:rsid w:val="00862C15"/>
    <w:rsid w:val="00867427"/>
    <w:rsid w:val="00870321"/>
    <w:rsid w:val="00895B1C"/>
    <w:rsid w:val="008A3F6F"/>
    <w:rsid w:val="008A4523"/>
    <w:rsid w:val="008D664C"/>
    <w:rsid w:val="008E421C"/>
    <w:rsid w:val="008F44CD"/>
    <w:rsid w:val="0090137E"/>
    <w:rsid w:val="0090282F"/>
    <w:rsid w:val="00903510"/>
    <w:rsid w:val="00907A2C"/>
    <w:rsid w:val="00910375"/>
    <w:rsid w:val="00911F6B"/>
    <w:rsid w:val="00915B8A"/>
    <w:rsid w:val="009175A7"/>
    <w:rsid w:val="00930537"/>
    <w:rsid w:val="00932FA5"/>
    <w:rsid w:val="009330C7"/>
    <w:rsid w:val="009342A1"/>
    <w:rsid w:val="00934403"/>
    <w:rsid w:val="0094685D"/>
    <w:rsid w:val="0095036A"/>
    <w:rsid w:val="009519BB"/>
    <w:rsid w:val="009551A2"/>
    <w:rsid w:val="009566B7"/>
    <w:rsid w:val="0096001A"/>
    <w:rsid w:val="00964A2F"/>
    <w:rsid w:val="009653D1"/>
    <w:rsid w:val="009A0DF2"/>
    <w:rsid w:val="009A3B69"/>
    <w:rsid w:val="009D3131"/>
    <w:rsid w:val="009E1AD3"/>
    <w:rsid w:val="009E4DC1"/>
    <w:rsid w:val="009F2656"/>
    <w:rsid w:val="009F4298"/>
    <w:rsid w:val="009F5F9B"/>
    <w:rsid w:val="00A06381"/>
    <w:rsid w:val="00A1274B"/>
    <w:rsid w:val="00A159BA"/>
    <w:rsid w:val="00A17ED0"/>
    <w:rsid w:val="00A369DE"/>
    <w:rsid w:val="00A41443"/>
    <w:rsid w:val="00A45816"/>
    <w:rsid w:val="00A527A5"/>
    <w:rsid w:val="00A67675"/>
    <w:rsid w:val="00A70444"/>
    <w:rsid w:val="00A72BCB"/>
    <w:rsid w:val="00A75633"/>
    <w:rsid w:val="00A760B6"/>
    <w:rsid w:val="00A81B27"/>
    <w:rsid w:val="00A963DE"/>
    <w:rsid w:val="00AA62F2"/>
    <w:rsid w:val="00AB5421"/>
    <w:rsid w:val="00AB6C12"/>
    <w:rsid w:val="00AB6F21"/>
    <w:rsid w:val="00AC7559"/>
    <w:rsid w:val="00AD6552"/>
    <w:rsid w:val="00AD727C"/>
    <w:rsid w:val="00AE3338"/>
    <w:rsid w:val="00AF5CE3"/>
    <w:rsid w:val="00AF610D"/>
    <w:rsid w:val="00B0525E"/>
    <w:rsid w:val="00B07FA6"/>
    <w:rsid w:val="00B2374C"/>
    <w:rsid w:val="00B35060"/>
    <w:rsid w:val="00B377F3"/>
    <w:rsid w:val="00B605B9"/>
    <w:rsid w:val="00B60F74"/>
    <w:rsid w:val="00B73CA4"/>
    <w:rsid w:val="00B861ED"/>
    <w:rsid w:val="00B958E7"/>
    <w:rsid w:val="00B97FB4"/>
    <w:rsid w:val="00BB1AFC"/>
    <w:rsid w:val="00BB5314"/>
    <w:rsid w:val="00BC21AA"/>
    <w:rsid w:val="00BC48FC"/>
    <w:rsid w:val="00BD5C1A"/>
    <w:rsid w:val="00BD7E0D"/>
    <w:rsid w:val="00BE1E29"/>
    <w:rsid w:val="00BE346E"/>
    <w:rsid w:val="00BE5B84"/>
    <w:rsid w:val="00BF35DF"/>
    <w:rsid w:val="00BF46CA"/>
    <w:rsid w:val="00C0535B"/>
    <w:rsid w:val="00C07656"/>
    <w:rsid w:val="00C14FB2"/>
    <w:rsid w:val="00C16E01"/>
    <w:rsid w:val="00C17E3B"/>
    <w:rsid w:val="00C30A86"/>
    <w:rsid w:val="00C31326"/>
    <w:rsid w:val="00C31800"/>
    <w:rsid w:val="00C44A05"/>
    <w:rsid w:val="00C51F18"/>
    <w:rsid w:val="00C53957"/>
    <w:rsid w:val="00C62E9C"/>
    <w:rsid w:val="00C84211"/>
    <w:rsid w:val="00C91283"/>
    <w:rsid w:val="00CA355F"/>
    <w:rsid w:val="00CA3EEB"/>
    <w:rsid w:val="00CB3CF8"/>
    <w:rsid w:val="00CB44E7"/>
    <w:rsid w:val="00CC0A18"/>
    <w:rsid w:val="00CC63BB"/>
    <w:rsid w:val="00CD2E02"/>
    <w:rsid w:val="00CD5139"/>
    <w:rsid w:val="00CD6358"/>
    <w:rsid w:val="00CE6FBA"/>
    <w:rsid w:val="00CF16CB"/>
    <w:rsid w:val="00CF5BEE"/>
    <w:rsid w:val="00D116EA"/>
    <w:rsid w:val="00D13D2D"/>
    <w:rsid w:val="00D5111A"/>
    <w:rsid w:val="00D6489A"/>
    <w:rsid w:val="00D71185"/>
    <w:rsid w:val="00D740A8"/>
    <w:rsid w:val="00D7440B"/>
    <w:rsid w:val="00D75121"/>
    <w:rsid w:val="00D75134"/>
    <w:rsid w:val="00D82051"/>
    <w:rsid w:val="00D84B5E"/>
    <w:rsid w:val="00D91EA6"/>
    <w:rsid w:val="00D96412"/>
    <w:rsid w:val="00DA4D47"/>
    <w:rsid w:val="00DA6C5D"/>
    <w:rsid w:val="00DB1B46"/>
    <w:rsid w:val="00DB6FE7"/>
    <w:rsid w:val="00DD06E1"/>
    <w:rsid w:val="00DD1780"/>
    <w:rsid w:val="00DD6BA7"/>
    <w:rsid w:val="00DE2A72"/>
    <w:rsid w:val="00DE61EC"/>
    <w:rsid w:val="00DE73D5"/>
    <w:rsid w:val="00DF08D6"/>
    <w:rsid w:val="00DF2E2C"/>
    <w:rsid w:val="00DF69A7"/>
    <w:rsid w:val="00E06DFB"/>
    <w:rsid w:val="00E11CCA"/>
    <w:rsid w:val="00E129B6"/>
    <w:rsid w:val="00E317C3"/>
    <w:rsid w:val="00E34327"/>
    <w:rsid w:val="00E464DD"/>
    <w:rsid w:val="00E47F1D"/>
    <w:rsid w:val="00E539DE"/>
    <w:rsid w:val="00E814F1"/>
    <w:rsid w:val="00E836BF"/>
    <w:rsid w:val="00E84E0F"/>
    <w:rsid w:val="00EB074A"/>
    <w:rsid w:val="00EC026F"/>
    <w:rsid w:val="00EC0396"/>
    <w:rsid w:val="00EC3D68"/>
    <w:rsid w:val="00EC789A"/>
    <w:rsid w:val="00ED29FB"/>
    <w:rsid w:val="00ED7DA6"/>
    <w:rsid w:val="00EE23E9"/>
    <w:rsid w:val="00EE25B4"/>
    <w:rsid w:val="00EF6F0B"/>
    <w:rsid w:val="00F002B7"/>
    <w:rsid w:val="00F023B9"/>
    <w:rsid w:val="00F031F4"/>
    <w:rsid w:val="00F035B2"/>
    <w:rsid w:val="00F04337"/>
    <w:rsid w:val="00F10DF9"/>
    <w:rsid w:val="00F21C72"/>
    <w:rsid w:val="00F25FA5"/>
    <w:rsid w:val="00F333F5"/>
    <w:rsid w:val="00F35B22"/>
    <w:rsid w:val="00F470A4"/>
    <w:rsid w:val="00F515D3"/>
    <w:rsid w:val="00F561A5"/>
    <w:rsid w:val="00F679C1"/>
    <w:rsid w:val="00F822D6"/>
    <w:rsid w:val="00F84EFB"/>
    <w:rsid w:val="00F93C82"/>
    <w:rsid w:val="00F96D52"/>
    <w:rsid w:val="00FA33B7"/>
    <w:rsid w:val="00FB34E3"/>
    <w:rsid w:val="00FD28BA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EEB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EEB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EEB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010F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010F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010F3"/>
    <w:rPr>
      <w:rFonts w:ascii="Cambria" w:hAnsi="Cambria" w:cs="Times New Roman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CA3EE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character" w:styleId="PageNumber">
    <w:name w:val="page number"/>
    <w:uiPriority w:val="99"/>
    <w:rsid w:val="00CA3E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3EE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4F0CB6"/>
    <w:rPr>
      <w:rFonts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E2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10F3"/>
    <w:rPr>
      <w:rFonts w:cs="Times New Roman"/>
      <w:color w:val="000000"/>
      <w:sz w:val="2"/>
    </w:rPr>
  </w:style>
  <w:style w:type="paragraph" w:customStyle="1" w:styleId="11">
    <w:name w:val="1(1)"/>
    <w:uiPriority w:val="99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4685D"/>
    <w:rPr>
      <w:color w:val="auto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C313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132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10F3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3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10F3"/>
    <w:rPr>
      <w:rFonts w:cs="Times New Roman"/>
      <w:b/>
      <w:bCs/>
      <w:color w:val="000000"/>
      <w:sz w:val="20"/>
      <w:szCs w:val="20"/>
    </w:rPr>
  </w:style>
  <w:style w:type="character" w:styleId="Hyperlink">
    <w:name w:val="Hyperlink"/>
    <w:uiPriority w:val="99"/>
    <w:rsid w:val="00227D1E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6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1688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1975</CharactersWithSpaces>
  <SharedDoc>false</SharedDoc>
  <HyperlinkBase>https://www.cabinet.qld.gov.au/documents/2015/Nov/PatientRatiosBill/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2015-12-01T06:24:00Z</cp:lastPrinted>
  <dcterms:created xsi:type="dcterms:W3CDTF">2017-10-25T01:34:00Z</dcterms:created>
  <dcterms:modified xsi:type="dcterms:W3CDTF">2018-03-06T01:30:00Z</dcterms:modified>
  <cp:category>Health,Hospitals,Legislation,Industrial_Relations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